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4FD" w14:textId="77777777" w:rsidR="00CD151F" w:rsidRPr="00CD151F" w:rsidRDefault="00CD151F" w:rsidP="00CD151F"/>
    <w:p w14:paraId="05BC463A" w14:textId="3D9B7155" w:rsidR="00CD151F" w:rsidRPr="00CD151F" w:rsidRDefault="00CD151F" w:rsidP="00CD151F">
      <w:pPr>
        <w:jc w:val="center"/>
        <w:rPr>
          <w:b/>
          <w:u w:val="single"/>
        </w:rPr>
      </w:pPr>
      <w:r w:rsidRPr="00CD151F">
        <w:rPr>
          <w:noProof/>
        </w:rPr>
        <mc:AlternateContent>
          <mc:Choice Requires="wps">
            <w:drawing>
              <wp:anchor distT="4294967295" distB="4294967295" distL="114300" distR="114300" simplePos="0" relativeHeight="251660288" behindDoc="0" locked="0" layoutInCell="1" allowOverlap="1" wp14:anchorId="6DAC3512" wp14:editId="6668CA0B">
                <wp:simplePos x="0" y="0"/>
                <wp:positionH relativeFrom="column">
                  <wp:posOffset>-104775</wp:posOffset>
                </wp:positionH>
                <wp:positionV relativeFrom="paragraph">
                  <wp:posOffset>581025</wp:posOffset>
                </wp:positionV>
                <wp:extent cx="6257925" cy="0"/>
                <wp:effectExtent l="0" t="0" r="0" b="0"/>
                <wp:wrapNone/>
                <wp:docPr id="1647599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CB85E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5.75pt" to="48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" strokecolor="#4a7ebb">
                <o:lock v:ext="edit" shapetype="f"/>
              </v:line>
            </w:pict>
          </mc:Fallback>
        </mc:AlternateContent>
      </w:r>
      <w:r w:rsidRPr="00CD151F">
        <w:rPr>
          <w:noProof/>
        </w:rPr>
        <mc:AlternateContent>
          <mc:Choice Requires="wps">
            <w:drawing>
              <wp:anchor distT="4294967295" distB="4294967295" distL="114300" distR="114300" simplePos="0" relativeHeight="251659264" behindDoc="0" locked="0" layoutInCell="1" allowOverlap="1" wp14:anchorId="027CD613" wp14:editId="40B191D7">
                <wp:simplePos x="0" y="0"/>
                <wp:positionH relativeFrom="column">
                  <wp:posOffset>-104775</wp:posOffset>
                </wp:positionH>
                <wp:positionV relativeFrom="paragraph">
                  <wp:posOffset>-152400</wp:posOffset>
                </wp:positionV>
                <wp:extent cx="6257925" cy="0"/>
                <wp:effectExtent l="0" t="0" r="0" b="0"/>
                <wp:wrapNone/>
                <wp:docPr id="1598662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327E3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2pt" to="4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" strokecolor="#156082 [3204]" strokeweight="1pt">
                <v:stroke joinstyle="miter"/>
                <o:lock v:ext="edit" shapetype="f"/>
              </v:line>
            </w:pict>
          </mc:Fallback>
        </mc:AlternateContent>
      </w:r>
      <w:r w:rsidRPr="00CD151F">
        <w:rPr>
          <w:b/>
        </w:rPr>
        <w:t>Summary of Content Changes</w:t>
      </w:r>
      <w:r w:rsidRPr="00CD151F">
        <w:rPr>
          <w:b/>
        </w:rPr>
        <w:br/>
      </w:r>
      <w:r w:rsidR="004D7725">
        <w:rPr>
          <w:b/>
        </w:rPr>
        <w:t>2026.1</w:t>
      </w:r>
      <w:r w:rsidRPr="00CD151F">
        <w:rPr>
          <w:b/>
        </w:rPr>
        <w:t xml:space="preserve"> Update</w:t>
      </w:r>
      <w:r w:rsidR="00F03053">
        <w:rPr>
          <w:b/>
        </w:rPr>
        <w:t xml:space="preserve">: </w:t>
      </w:r>
      <w:r w:rsidR="006F05A5">
        <w:rPr>
          <w:b/>
        </w:rPr>
        <w:t>January 2026</w:t>
      </w:r>
      <w:r w:rsidRPr="00CD151F">
        <w:rPr>
          <w:b/>
        </w:rPr>
        <w:br/>
      </w:r>
    </w:p>
    <w:p w14:paraId="32E51F76" w14:textId="173331A3" w:rsidR="00FF54DA" w:rsidRDefault="00A8616A" w:rsidP="00AC7576">
      <w:r w:rsidRPr="00A8616A">
        <w:t>There have been additional updates to CU Policy Pro to reflect the insured institution exemption threshold effective January 1, 2026. This threshold is updated each year to account for inflation and is based on the annual percentage change in the Consumer Price Index for Urban Wage Earners and Clerical Workers. The revised threshold is as follows:</w:t>
      </w:r>
    </w:p>
    <w:p w14:paraId="3CD3A4AB" w14:textId="77777777" w:rsidR="0025109F" w:rsidRDefault="0025109F" w:rsidP="00AC7576"/>
    <w:p w14:paraId="57A88CE8" w14:textId="4EDDB557" w:rsidR="00274D01" w:rsidRDefault="00274D01" w:rsidP="00397CE2">
      <w:pPr>
        <w:rPr>
          <w:color w:val="EE0000"/>
        </w:rPr>
      </w:pPr>
      <w:hyperlink r:id="rId5" w:history="1">
        <w:r w:rsidRPr="00274D01">
          <w:rPr>
            <w:rStyle w:val="Hyperlink"/>
          </w:rPr>
          <w:t>Home Mortgage Disclosure Act Institutional Coverage Test</w:t>
        </w:r>
      </w:hyperlink>
    </w:p>
    <w:p w14:paraId="3DFD83C0" w14:textId="6C468E52" w:rsidR="00274D01" w:rsidRPr="006F05A5" w:rsidRDefault="004B27EB" w:rsidP="00397CE2">
      <w:r w:rsidRPr="006F05A5">
        <w:t xml:space="preserve">A credit union </w:t>
      </w:r>
      <w:r w:rsidR="00E20687" w:rsidRPr="006F05A5">
        <w:t>that meets the following four-part test is subject to HMDA:</w:t>
      </w:r>
    </w:p>
    <w:p w14:paraId="6894D51C" w14:textId="16F0642D" w:rsidR="00E20687" w:rsidRPr="006F05A5" w:rsidRDefault="00E20687" w:rsidP="00E20687">
      <w:pPr>
        <w:pStyle w:val="ListParagraph"/>
        <w:numPr>
          <w:ilvl w:val="0"/>
          <w:numId w:val="2"/>
        </w:numPr>
      </w:pPr>
      <w:r w:rsidRPr="006F05A5">
        <w:t xml:space="preserve">Assets </w:t>
      </w:r>
      <w:proofErr w:type="gramStart"/>
      <w:r w:rsidRPr="006F05A5">
        <w:t>in excess of</w:t>
      </w:r>
      <w:proofErr w:type="gramEnd"/>
      <w:r w:rsidRPr="006F05A5">
        <w:t xml:space="preserve"> </w:t>
      </w:r>
      <w:r w:rsidRPr="006F05A5">
        <w:rPr>
          <w:b/>
          <w:bCs/>
        </w:rPr>
        <w:t>$59 million</w:t>
      </w:r>
      <w:r w:rsidRPr="006F05A5">
        <w:t xml:space="preserve"> as of 12/31/2025, </w:t>
      </w:r>
    </w:p>
    <w:p w14:paraId="27D74771" w14:textId="6F4BD39E" w:rsidR="00E20687" w:rsidRPr="006F05A5" w:rsidRDefault="00F65CB5" w:rsidP="00E20687">
      <w:pPr>
        <w:pStyle w:val="ListParagraph"/>
        <w:numPr>
          <w:ilvl w:val="0"/>
          <w:numId w:val="2"/>
        </w:numPr>
      </w:pPr>
      <w:r w:rsidRPr="006F05A5">
        <w:t xml:space="preserve">Home or branch office in a Metropolitan Statistical Area, </w:t>
      </w:r>
    </w:p>
    <w:p w14:paraId="6EB150AA" w14:textId="721AE9CF" w:rsidR="00F65CB5" w:rsidRPr="006F05A5" w:rsidRDefault="00F65CB5" w:rsidP="00E20687">
      <w:pPr>
        <w:pStyle w:val="ListParagraph"/>
        <w:numPr>
          <w:ilvl w:val="0"/>
          <w:numId w:val="2"/>
        </w:numPr>
      </w:pPr>
      <w:r w:rsidRPr="006F05A5">
        <w:t xml:space="preserve">Originated at least one home purchase or refinance transaction in the preceding calendar year, and </w:t>
      </w:r>
    </w:p>
    <w:p w14:paraId="14528FA2" w14:textId="4D39FE39" w:rsidR="00F65CB5" w:rsidRPr="006F05A5" w:rsidRDefault="00F65CB5" w:rsidP="00E20687">
      <w:pPr>
        <w:pStyle w:val="ListParagraph"/>
        <w:numPr>
          <w:ilvl w:val="0"/>
          <w:numId w:val="2"/>
        </w:numPr>
      </w:pPr>
      <w:r w:rsidRPr="006F05A5">
        <w:t xml:space="preserve">Federally insured or regulated. </w:t>
      </w:r>
    </w:p>
    <w:p w14:paraId="2092939B" w14:textId="77777777" w:rsidR="00F65CB5" w:rsidRDefault="00F65CB5" w:rsidP="00F65CB5">
      <w:pPr>
        <w:rPr>
          <w:color w:val="EE0000"/>
        </w:rPr>
      </w:pPr>
    </w:p>
    <w:p w14:paraId="3B4BB527" w14:textId="67EAFFDB" w:rsidR="00F65CB5" w:rsidRDefault="007B1F21" w:rsidP="00F65CB5">
      <w:pPr>
        <w:rPr>
          <w:color w:val="EE0000"/>
          <w:u w:val="single"/>
        </w:rPr>
      </w:pPr>
      <w:hyperlink r:id="rId6" w:history="1">
        <w:r w:rsidRPr="007B1F21">
          <w:rPr>
            <w:rStyle w:val="Hyperlink"/>
          </w:rPr>
          <w:t>Small Creditor Definition</w:t>
        </w:r>
      </w:hyperlink>
    </w:p>
    <w:p w14:paraId="4A46C417" w14:textId="6C58EF6E" w:rsidR="007B1F21" w:rsidRPr="006F05A5" w:rsidRDefault="00170E37" w:rsidP="00F65CB5">
      <w:r w:rsidRPr="006F05A5">
        <w:t>A credit union that meets the following two-part test is considered a small creditor:</w:t>
      </w:r>
    </w:p>
    <w:p w14:paraId="66452D7D" w14:textId="314D3E2D" w:rsidR="005101AF" w:rsidRPr="006F05A5" w:rsidRDefault="00170E37" w:rsidP="005101AF">
      <w:pPr>
        <w:pStyle w:val="ListParagraph"/>
        <w:numPr>
          <w:ilvl w:val="0"/>
          <w:numId w:val="2"/>
        </w:numPr>
      </w:pPr>
      <w:r w:rsidRPr="006F05A5">
        <w:t>During the preceding calendar year</w:t>
      </w:r>
      <w:r w:rsidR="005101AF" w:rsidRPr="006F05A5">
        <w:t xml:space="preserve">, the credit union and its affiliates together originated 2,000 or fewer covered transactions secured by a first </w:t>
      </w:r>
      <w:proofErr w:type="gramStart"/>
      <w:r w:rsidR="005101AF" w:rsidRPr="006F05A5">
        <w:t>lien</w:t>
      </w:r>
      <w:proofErr w:type="gramEnd"/>
      <w:r w:rsidR="005101AF" w:rsidRPr="006F05A5">
        <w:t xml:space="preserve">, and </w:t>
      </w:r>
    </w:p>
    <w:p w14:paraId="39B11838" w14:textId="7C0D64E3" w:rsidR="004F1C8C" w:rsidRDefault="00295BBB" w:rsidP="008C7BBF">
      <w:pPr>
        <w:pStyle w:val="ListParagraph"/>
        <w:numPr>
          <w:ilvl w:val="0"/>
          <w:numId w:val="2"/>
        </w:numPr>
      </w:pPr>
      <w:r w:rsidRPr="006F05A5">
        <w:t xml:space="preserve">At the end of the preceding calendar year, the credit union and its affiliates together had total assets of less than </w:t>
      </w:r>
      <w:r w:rsidRPr="006F05A5">
        <w:rPr>
          <w:b/>
          <w:bCs/>
        </w:rPr>
        <w:t xml:space="preserve">$2.785 </w:t>
      </w:r>
      <w:r w:rsidR="000969C5" w:rsidRPr="006F05A5">
        <w:rPr>
          <w:b/>
          <w:bCs/>
        </w:rPr>
        <w:t>billion</w:t>
      </w:r>
      <w:r w:rsidR="000969C5" w:rsidRPr="006F05A5">
        <w:t xml:space="preserve">. </w:t>
      </w:r>
    </w:p>
    <w:p w14:paraId="0B58F3F1" w14:textId="77777777" w:rsidR="0025109F" w:rsidRDefault="0025109F" w:rsidP="0025109F"/>
    <w:p w14:paraId="535C5390" w14:textId="77777777" w:rsidR="0025109F" w:rsidRPr="0025109F" w:rsidRDefault="0025109F" w:rsidP="0025109F">
      <w:hyperlink r:id="rId7" w:history="1">
        <w:r w:rsidRPr="0025109F">
          <w:rPr>
            <w:rStyle w:val="Hyperlink"/>
          </w:rPr>
          <w:t>Insured Institution Exemption</w:t>
        </w:r>
      </w:hyperlink>
    </w:p>
    <w:p w14:paraId="17FE93F5" w14:textId="77777777" w:rsidR="0025109F" w:rsidRPr="0025109F" w:rsidRDefault="0025109F" w:rsidP="0025109F">
      <w:r w:rsidRPr="0025109F">
        <w:t xml:space="preserve">An insured credit union that meets the following requirements is NOT required to establish an escrow account in connection with a higher priced mortgage loan (HPML) secured by a first </w:t>
      </w:r>
      <w:proofErr w:type="gramStart"/>
      <w:r w:rsidRPr="0025109F">
        <w:t>lien</w:t>
      </w:r>
      <w:proofErr w:type="gramEnd"/>
      <w:r w:rsidRPr="0025109F">
        <w:t>:</w:t>
      </w:r>
    </w:p>
    <w:p w14:paraId="1C7ECCE9" w14:textId="77777777" w:rsidR="0025109F" w:rsidRPr="0025109F" w:rsidRDefault="0025109F" w:rsidP="0025109F">
      <w:pPr>
        <w:numPr>
          <w:ilvl w:val="0"/>
          <w:numId w:val="4"/>
        </w:numPr>
      </w:pPr>
      <w:r w:rsidRPr="0025109F">
        <w:t xml:space="preserve">Has assets under $12.485 billion as of 12/31/2025, </w:t>
      </w:r>
    </w:p>
    <w:p w14:paraId="4787D53F" w14:textId="77777777" w:rsidR="0025109F" w:rsidRPr="0025109F" w:rsidRDefault="0025109F" w:rsidP="0025109F">
      <w:pPr>
        <w:numPr>
          <w:ilvl w:val="0"/>
          <w:numId w:val="4"/>
        </w:numPr>
      </w:pPr>
      <w:r w:rsidRPr="0025109F">
        <w:lastRenderedPageBreak/>
        <w:t xml:space="preserve">Originated 1,000 or fewer loans secured by a first </w:t>
      </w:r>
      <w:proofErr w:type="gramStart"/>
      <w:r w:rsidRPr="0025109F">
        <w:t>lien</w:t>
      </w:r>
      <w:proofErr w:type="gramEnd"/>
      <w:r w:rsidRPr="0025109F">
        <w:t xml:space="preserve"> on a principal dwelling during the preceding calendar year, </w:t>
      </w:r>
    </w:p>
    <w:p w14:paraId="410C9A1E" w14:textId="77777777" w:rsidR="0025109F" w:rsidRPr="0025109F" w:rsidRDefault="0025109F" w:rsidP="0025109F">
      <w:pPr>
        <w:numPr>
          <w:ilvl w:val="0"/>
          <w:numId w:val="4"/>
        </w:numPr>
      </w:pPr>
      <w:r w:rsidRPr="0025109F">
        <w:t xml:space="preserve">Extended credit in a rural or underserved area, and </w:t>
      </w:r>
    </w:p>
    <w:p w14:paraId="1B814EA3" w14:textId="77777777" w:rsidR="0025109F" w:rsidRPr="0025109F" w:rsidRDefault="0025109F" w:rsidP="0025109F">
      <w:pPr>
        <w:numPr>
          <w:ilvl w:val="0"/>
          <w:numId w:val="4"/>
        </w:numPr>
      </w:pPr>
      <w:r w:rsidRPr="0025109F">
        <w:t xml:space="preserve">Has not maintained an escrow account except for those established for HPML’s when required to do so after consummation as </w:t>
      </w:r>
      <w:proofErr w:type="gramStart"/>
      <w:r w:rsidRPr="0025109F">
        <w:t>an accommodation</w:t>
      </w:r>
      <w:proofErr w:type="gramEnd"/>
      <w:r w:rsidRPr="0025109F">
        <w:t xml:space="preserve"> to a distressed consumer. </w:t>
      </w:r>
    </w:p>
    <w:p w14:paraId="08BDF1AA" w14:textId="77777777" w:rsidR="00252A9B" w:rsidRDefault="00252A9B" w:rsidP="00252A9B">
      <w:pPr>
        <w:pStyle w:val="ListParagraph"/>
      </w:pPr>
    </w:p>
    <w:p w14:paraId="07279C53" w14:textId="13E37F99" w:rsidR="00F03053" w:rsidRPr="00397CE2" w:rsidRDefault="008C7BBF">
      <w:pPr>
        <w:rPr>
          <w:b/>
          <w:bCs/>
          <w:sz w:val="28"/>
          <w:szCs w:val="28"/>
        </w:rPr>
      </w:pPr>
      <w:r>
        <w:rPr>
          <w:b/>
          <w:bCs/>
          <w:sz w:val="28"/>
          <w:szCs w:val="28"/>
        </w:rPr>
        <w:t>January 2026</w:t>
      </w:r>
    </w:p>
    <w:p w14:paraId="509EC20B" w14:textId="77777777" w:rsidR="00AA41C1" w:rsidRDefault="00AA41C1" w:rsidP="009C0EB1">
      <w:pPr>
        <w:spacing w:after="0" w:line="240" w:lineRule="auto"/>
        <w:rPr>
          <w:b/>
          <w:bCs/>
          <w:i/>
          <w:iCs/>
        </w:rPr>
      </w:pPr>
    </w:p>
    <w:p w14:paraId="590297B2" w14:textId="65251CCB" w:rsidR="00AA41C1" w:rsidRDefault="00AA41C1" w:rsidP="009C0EB1">
      <w:pPr>
        <w:spacing w:after="0" w:line="240" w:lineRule="auto"/>
        <w:rPr>
          <w:b/>
          <w:bCs/>
          <w:i/>
          <w:iCs/>
        </w:rPr>
      </w:pPr>
      <w:r>
        <w:rPr>
          <w:b/>
          <w:bCs/>
          <w:i/>
          <w:iCs/>
        </w:rPr>
        <w:t>7351</w:t>
      </w:r>
      <w:r w:rsidR="00BA02E1">
        <w:rPr>
          <w:b/>
          <w:bCs/>
          <w:i/>
          <w:iCs/>
        </w:rPr>
        <w:t xml:space="preserve"> – Small Creditor Ability to Repay</w:t>
      </w:r>
    </w:p>
    <w:p w14:paraId="6F6EFB35" w14:textId="2D2A4FC6" w:rsidR="00364354" w:rsidRPr="006F05A5" w:rsidRDefault="00252A9B" w:rsidP="009C0EB1">
      <w:pPr>
        <w:spacing w:after="0" w:line="240" w:lineRule="auto"/>
        <w:rPr>
          <w:b/>
          <w:bCs/>
          <w:color w:val="EE0000"/>
        </w:rPr>
      </w:pPr>
      <w:r>
        <w:t>This policy</w:t>
      </w:r>
      <w:r w:rsidR="00F20818">
        <w:t xml:space="preserve"> was revised to </w:t>
      </w:r>
      <w:r w:rsidR="001E15B2">
        <w:t xml:space="preserve">update the </w:t>
      </w:r>
      <w:hyperlink r:id="rId8" w:history="1">
        <w:r w:rsidR="00197316" w:rsidRPr="00DC4702">
          <w:rPr>
            <w:rStyle w:val="Hyperlink"/>
          </w:rPr>
          <w:t>asset threshold</w:t>
        </w:r>
      </w:hyperlink>
      <w:r w:rsidR="00197316">
        <w:t xml:space="preserve"> for determining whether the credit union </w:t>
      </w:r>
      <w:r w:rsidR="001E15B2">
        <w:t xml:space="preserve">meets the definition of </w:t>
      </w:r>
      <w:r w:rsidR="00197316">
        <w:t xml:space="preserve">a small creditor and is </w:t>
      </w:r>
      <w:r w:rsidR="001E15B2">
        <w:t xml:space="preserve">thus </w:t>
      </w:r>
      <w:r w:rsidR="00197316">
        <w:t>exempt from the qualified mortgage pricing test. Th</w:t>
      </w:r>
      <w:r w:rsidR="00E46FE6">
        <w:t xml:space="preserve">is change became effective on January 1, 2026. </w:t>
      </w:r>
      <w:r w:rsidR="00A650C7">
        <w:rPr>
          <w:b/>
          <w:bCs/>
          <w:color w:val="EE0000"/>
        </w:rPr>
        <w:t>(Required)</w:t>
      </w:r>
    </w:p>
    <w:p w14:paraId="7AF83154" w14:textId="77777777" w:rsidR="00364354" w:rsidRDefault="00364354" w:rsidP="009C0EB1">
      <w:pPr>
        <w:spacing w:after="0" w:line="240" w:lineRule="auto"/>
        <w:rPr>
          <w:b/>
          <w:bCs/>
          <w:i/>
          <w:iCs/>
        </w:rPr>
      </w:pPr>
    </w:p>
    <w:p w14:paraId="07E5762A" w14:textId="77777777" w:rsidR="00252A9B" w:rsidRDefault="00252A9B" w:rsidP="00133D81">
      <w:pPr>
        <w:spacing w:after="0" w:line="240" w:lineRule="auto"/>
        <w:rPr>
          <w:b/>
          <w:bCs/>
          <w:i/>
          <w:iCs/>
        </w:rPr>
      </w:pPr>
    </w:p>
    <w:p w14:paraId="377BD653" w14:textId="79ECAE3E" w:rsidR="00133D81" w:rsidRPr="00AA41C1" w:rsidRDefault="00133D81" w:rsidP="00133D81">
      <w:pPr>
        <w:spacing w:after="0" w:line="240" w:lineRule="auto"/>
        <w:rPr>
          <w:b/>
          <w:bCs/>
          <w:i/>
          <w:iCs/>
          <w:caps/>
        </w:rPr>
      </w:pPr>
      <w:r>
        <w:rPr>
          <w:b/>
          <w:bCs/>
          <w:i/>
          <w:iCs/>
        </w:rPr>
        <w:t>9200 – Home Mortgage Disclosure Act</w:t>
      </w:r>
    </w:p>
    <w:p w14:paraId="3E03EBDA" w14:textId="303B96F6" w:rsidR="00133D81" w:rsidRDefault="00252A9B" w:rsidP="009C0EB1">
      <w:pPr>
        <w:spacing w:after="0" w:line="240" w:lineRule="auto"/>
        <w:rPr>
          <w:b/>
          <w:bCs/>
          <w:color w:val="EE0000"/>
        </w:rPr>
      </w:pPr>
      <w:r>
        <w:t>This policy</w:t>
      </w:r>
      <w:r w:rsidR="001A74BC">
        <w:t xml:space="preserve"> was revised to update the </w:t>
      </w:r>
      <w:hyperlink r:id="rId9" w:history="1">
        <w:r w:rsidR="00154F2D" w:rsidRPr="00154F2D">
          <w:rPr>
            <w:rStyle w:val="Hyperlink"/>
          </w:rPr>
          <w:t>asset threshold</w:t>
        </w:r>
      </w:hyperlink>
      <w:r w:rsidR="00154F2D">
        <w:t xml:space="preserve"> for determining whether the credit union is required to collect and report HMDA data. </w:t>
      </w:r>
      <w:r w:rsidR="005500E6">
        <w:t xml:space="preserve">This change became effective on January 1, 2026. </w:t>
      </w:r>
      <w:r w:rsidR="005500E6">
        <w:rPr>
          <w:b/>
          <w:bCs/>
          <w:color w:val="EE0000"/>
        </w:rPr>
        <w:t>(Required)</w:t>
      </w:r>
    </w:p>
    <w:p w14:paraId="287247F5" w14:textId="77777777" w:rsidR="0025109F" w:rsidRDefault="0025109F" w:rsidP="009C0EB1">
      <w:pPr>
        <w:spacing w:after="0" w:line="240" w:lineRule="auto"/>
        <w:rPr>
          <w:b/>
          <w:bCs/>
          <w:color w:val="EE0000"/>
        </w:rPr>
      </w:pPr>
    </w:p>
    <w:p w14:paraId="6B9D19B9" w14:textId="77777777" w:rsidR="0025109F" w:rsidRDefault="0025109F" w:rsidP="009C0EB1">
      <w:pPr>
        <w:spacing w:after="0" w:line="240" w:lineRule="auto"/>
        <w:rPr>
          <w:b/>
          <w:bCs/>
          <w:color w:val="EE0000"/>
        </w:rPr>
      </w:pPr>
    </w:p>
    <w:p w14:paraId="45D007D9" w14:textId="77777777" w:rsidR="00565018" w:rsidRPr="00565018" w:rsidRDefault="00565018" w:rsidP="00565018">
      <w:pPr>
        <w:spacing w:after="0" w:line="240" w:lineRule="auto"/>
        <w:rPr>
          <w:b/>
          <w:bCs/>
          <w:i/>
          <w:iCs/>
        </w:rPr>
      </w:pPr>
      <w:r w:rsidRPr="00565018">
        <w:rPr>
          <w:b/>
          <w:bCs/>
          <w:i/>
          <w:iCs/>
        </w:rPr>
        <w:t>7330 – Residential Real Estate Loans</w:t>
      </w:r>
    </w:p>
    <w:p w14:paraId="4E52375B" w14:textId="58C9F895" w:rsidR="0025109F" w:rsidRDefault="00565018" w:rsidP="00565018">
      <w:pPr>
        <w:spacing w:after="0" w:line="240" w:lineRule="auto"/>
        <w:rPr>
          <w:b/>
          <w:bCs/>
          <w:color w:val="EE0000"/>
        </w:rPr>
      </w:pPr>
      <w:r w:rsidRPr="00565018">
        <w:t>This policy was revised to update the asset threshold for determining whether the credit union qualifies for an exemption to establishing an escrow account in connection with a first lien higher priced mortgage loan (HPML). This change was effective January 1, 2026.</w:t>
      </w:r>
      <w:r w:rsidRPr="00565018">
        <w:rPr>
          <w:b/>
          <w:bCs/>
        </w:rPr>
        <w:t xml:space="preserve"> </w:t>
      </w:r>
      <w:r w:rsidRPr="00565018">
        <w:rPr>
          <w:b/>
          <w:bCs/>
          <w:color w:val="EE0000"/>
        </w:rPr>
        <w:t>(Required)</w:t>
      </w:r>
    </w:p>
    <w:p w14:paraId="73FCE4B6" w14:textId="77777777" w:rsidR="00565018" w:rsidRDefault="00565018" w:rsidP="00565018">
      <w:pPr>
        <w:spacing w:after="0" w:line="240" w:lineRule="auto"/>
        <w:rPr>
          <w:b/>
          <w:bCs/>
          <w:color w:val="EE0000"/>
        </w:rPr>
      </w:pPr>
    </w:p>
    <w:p w14:paraId="556BE8AD" w14:textId="77777777" w:rsidR="00565018" w:rsidRDefault="00565018" w:rsidP="00565018">
      <w:pPr>
        <w:spacing w:after="0" w:line="240" w:lineRule="auto"/>
        <w:rPr>
          <w:b/>
          <w:bCs/>
          <w:color w:val="EE0000"/>
        </w:rPr>
      </w:pPr>
    </w:p>
    <w:p w14:paraId="461FB4E9" w14:textId="77777777" w:rsidR="00834644" w:rsidRPr="00834644" w:rsidRDefault="00834644" w:rsidP="00834644">
      <w:pPr>
        <w:spacing w:after="0" w:line="240" w:lineRule="auto"/>
        <w:rPr>
          <w:b/>
          <w:bCs/>
          <w:i/>
          <w:iCs/>
        </w:rPr>
      </w:pPr>
      <w:r w:rsidRPr="00834644">
        <w:rPr>
          <w:b/>
          <w:bCs/>
          <w:i/>
          <w:iCs/>
        </w:rPr>
        <w:t>9220 – Home Ownership and Equity Protection Act</w:t>
      </w:r>
    </w:p>
    <w:p w14:paraId="496C299B" w14:textId="77777777" w:rsidR="00834644" w:rsidRPr="00834644" w:rsidRDefault="00834644" w:rsidP="00834644">
      <w:pPr>
        <w:spacing w:after="0" w:line="240" w:lineRule="auto"/>
        <w:rPr>
          <w:b/>
          <w:bCs/>
          <w:color w:val="EE0000"/>
        </w:rPr>
      </w:pPr>
      <w:r w:rsidRPr="00834644">
        <w:t xml:space="preserve">This policy was revised to update the </w:t>
      </w:r>
      <w:hyperlink r:id="rId10" w:history="1">
        <w:r w:rsidRPr="00834644">
          <w:rPr>
            <w:rStyle w:val="Hyperlink"/>
            <w:color w:val="auto"/>
          </w:rPr>
          <w:t>asset threshold</w:t>
        </w:r>
      </w:hyperlink>
      <w:r w:rsidRPr="00834644">
        <w:t xml:space="preserve"> for determining whether the credit union qualifies for an exemption to establishing an escrow account in connection with a first lien higher priced mortgage loan (HPML). This change was effective January 1, 2026.</w:t>
      </w:r>
      <w:r w:rsidRPr="00834644">
        <w:rPr>
          <w:b/>
          <w:bCs/>
        </w:rPr>
        <w:t xml:space="preserve"> </w:t>
      </w:r>
      <w:r w:rsidRPr="00834644">
        <w:rPr>
          <w:b/>
          <w:bCs/>
          <w:color w:val="EE0000"/>
        </w:rPr>
        <w:t xml:space="preserve">(Required) </w:t>
      </w:r>
    </w:p>
    <w:p w14:paraId="0DB666B5" w14:textId="77777777" w:rsidR="00565018" w:rsidRPr="006F05A5" w:rsidRDefault="00565018" w:rsidP="00565018">
      <w:pPr>
        <w:spacing w:after="0" w:line="240" w:lineRule="auto"/>
        <w:rPr>
          <w:b/>
          <w:bCs/>
          <w:color w:val="EE0000"/>
        </w:rPr>
      </w:pPr>
    </w:p>
    <w:sectPr w:rsidR="00565018" w:rsidRPr="006F0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C16"/>
    <w:multiLevelType w:val="multilevel"/>
    <w:tmpl w:val="C7DE4260"/>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F534B1"/>
    <w:multiLevelType w:val="multilevel"/>
    <w:tmpl w:val="49280034"/>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964B85"/>
    <w:multiLevelType w:val="hybridMultilevel"/>
    <w:tmpl w:val="06068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256F3"/>
    <w:multiLevelType w:val="hybridMultilevel"/>
    <w:tmpl w:val="0EDA1A34"/>
    <w:lvl w:ilvl="0" w:tplc="0CF0BFDC">
      <w:start w:val="2026"/>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12166">
    <w:abstractNumId w:val="1"/>
  </w:num>
  <w:num w:numId="2" w16cid:durableId="1636369510">
    <w:abstractNumId w:val="0"/>
  </w:num>
  <w:num w:numId="3" w16cid:durableId="67506761">
    <w:abstractNumId w:val="2"/>
  </w:num>
  <w:num w:numId="4" w16cid:durableId="19684699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D4"/>
    <w:rsid w:val="00004818"/>
    <w:rsid w:val="00024255"/>
    <w:rsid w:val="000242FA"/>
    <w:rsid w:val="0004104F"/>
    <w:rsid w:val="0004398C"/>
    <w:rsid w:val="000738C1"/>
    <w:rsid w:val="00093241"/>
    <w:rsid w:val="00095FC9"/>
    <w:rsid w:val="000969C5"/>
    <w:rsid w:val="000C1B18"/>
    <w:rsid w:val="000F33C2"/>
    <w:rsid w:val="00110838"/>
    <w:rsid w:val="00110BAD"/>
    <w:rsid w:val="001308FD"/>
    <w:rsid w:val="00132015"/>
    <w:rsid w:val="00133D81"/>
    <w:rsid w:val="00137CBD"/>
    <w:rsid w:val="00144A33"/>
    <w:rsid w:val="001546DC"/>
    <w:rsid w:val="00154F2D"/>
    <w:rsid w:val="00170E37"/>
    <w:rsid w:val="00173C9F"/>
    <w:rsid w:val="00197316"/>
    <w:rsid w:val="001A1BD8"/>
    <w:rsid w:val="001A74BC"/>
    <w:rsid w:val="001B6AFB"/>
    <w:rsid w:val="001E15B2"/>
    <w:rsid w:val="001F705C"/>
    <w:rsid w:val="00200AE8"/>
    <w:rsid w:val="0020199E"/>
    <w:rsid w:val="002114D4"/>
    <w:rsid w:val="00226DE5"/>
    <w:rsid w:val="0025109F"/>
    <w:rsid w:val="00252A9B"/>
    <w:rsid w:val="002579C8"/>
    <w:rsid w:val="002650A3"/>
    <w:rsid w:val="00270A88"/>
    <w:rsid w:val="00273C11"/>
    <w:rsid w:val="00274D01"/>
    <w:rsid w:val="0029196E"/>
    <w:rsid w:val="00295BBB"/>
    <w:rsid w:val="002A3C4E"/>
    <w:rsid w:val="002D09C7"/>
    <w:rsid w:val="002E7C75"/>
    <w:rsid w:val="00316155"/>
    <w:rsid w:val="00325028"/>
    <w:rsid w:val="00343304"/>
    <w:rsid w:val="00355F58"/>
    <w:rsid w:val="00357549"/>
    <w:rsid w:val="00362567"/>
    <w:rsid w:val="00364354"/>
    <w:rsid w:val="00366922"/>
    <w:rsid w:val="00381E9E"/>
    <w:rsid w:val="00383B65"/>
    <w:rsid w:val="0039068F"/>
    <w:rsid w:val="00397CE2"/>
    <w:rsid w:val="003B49A5"/>
    <w:rsid w:val="003C77A4"/>
    <w:rsid w:val="003D4A99"/>
    <w:rsid w:val="003F29FC"/>
    <w:rsid w:val="0049403B"/>
    <w:rsid w:val="00495F52"/>
    <w:rsid w:val="00496317"/>
    <w:rsid w:val="004B27EB"/>
    <w:rsid w:val="004C3293"/>
    <w:rsid w:val="004D7725"/>
    <w:rsid w:val="004E6E7C"/>
    <w:rsid w:val="004F1C8C"/>
    <w:rsid w:val="004F2F86"/>
    <w:rsid w:val="00507B2E"/>
    <w:rsid w:val="005101AF"/>
    <w:rsid w:val="00512DD3"/>
    <w:rsid w:val="00517195"/>
    <w:rsid w:val="005500E6"/>
    <w:rsid w:val="00554CE7"/>
    <w:rsid w:val="00565018"/>
    <w:rsid w:val="00576011"/>
    <w:rsid w:val="00584BAD"/>
    <w:rsid w:val="005A68ED"/>
    <w:rsid w:val="005C4D8E"/>
    <w:rsid w:val="005D4FAA"/>
    <w:rsid w:val="005F529E"/>
    <w:rsid w:val="0061502A"/>
    <w:rsid w:val="00666309"/>
    <w:rsid w:val="006A6EDC"/>
    <w:rsid w:val="006B0B81"/>
    <w:rsid w:val="006E405B"/>
    <w:rsid w:val="006F05A5"/>
    <w:rsid w:val="00702225"/>
    <w:rsid w:val="00717546"/>
    <w:rsid w:val="00735B0C"/>
    <w:rsid w:val="00746401"/>
    <w:rsid w:val="00775B54"/>
    <w:rsid w:val="007964A2"/>
    <w:rsid w:val="007B1F21"/>
    <w:rsid w:val="007B3EA2"/>
    <w:rsid w:val="007B4FE2"/>
    <w:rsid w:val="007E58EE"/>
    <w:rsid w:val="007E67B3"/>
    <w:rsid w:val="00800245"/>
    <w:rsid w:val="00805532"/>
    <w:rsid w:val="0080678C"/>
    <w:rsid w:val="008126F1"/>
    <w:rsid w:val="00825CD6"/>
    <w:rsid w:val="00834644"/>
    <w:rsid w:val="00836527"/>
    <w:rsid w:val="008477A8"/>
    <w:rsid w:val="008479D5"/>
    <w:rsid w:val="00890A5C"/>
    <w:rsid w:val="008A76E4"/>
    <w:rsid w:val="008B6628"/>
    <w:rsid w:val="008C656A"/>
    <w:rsid w:val="008C7BBF"/>
    <w:rsid w:val="008E41B3"/>
    <w:rsid w:val="0090166C"/>
    <w:rsid w:val="00901D22"/>
    <w:rsid w:val="009210AF"/>
    <w:rsid w:val="00921FA7"/>
    <w:rsid w:val="009242F7"/>
    <w:rsid w:val="00927143"/>
    <w:rsid w:val="009356ED"/>
    <w:rsid w:val="00953A5F"/>
    <w:rsid w:val="00963096"/>
    <w:rsid w:val="00987EF7"/>
    <w:rsid w:val="00991A35"/>
    <w:rsid w:val="009C0EB1"/>
    <w:rsid w:val="009D47A5"/>
    <w:rsid w:val="009E03C0"/>
    <w:rsid w:val="00A018B8"/>
    <w:rsid w:val="00A0454C"/>
    <w:rsid w:val="00A05E35"/>
    <w:rsid w:val="00A32616"/>
    <w:rsid w:val="00A5712F"/>
    <w:rsid w:val="00A632FB"/>
    <w:rsid w:val="00A650C7"/>
    <w:rsid w:val="00A666C6"/>
    <w:rsid w:val="00A8027D"/>
    <w:rsid w:val="00A8047E"/>
    <w:rsid w:val="00A8616A"/>
    <w:rsid w:val="00AA41C1"/>
    <w:rsid w:val="00AC1275"/>
    <w:rsid w:val="00AC1561"/>
    <w:rsid w:val="00AC7576"/>
    <w:rsid w:val="00AD084A"/>
    <w:rsid w:val="00AD3731"/>
    <w:rsid w:val="00AD408E"/>
    <w:rsid w:val="00AD7988"/>
    <w:rsid w:val="00AE670E"/>
    <w:rsid w:val="00AE6FCA"/>
    <w:rsid w:val="00AF2104"/>
    <w:rsid w:val="00AF301C"/>
    <w:rsid w:val="00B16F7F"/>
    <w:rsid w:val="00B34196"/>
    <w:rsid w:val="00B564E8"/>
    <w:rsid w:val="00B6218A"/>
    <w:rsid w:val="00B72292"/>
    <w:rsid w:val="00B9319B"/>
    <w:rsid w:val="00BA02E1"/>
    <w:rsid w:val="00BA5EF1"/>
    <w:rsid w:val="00BB68E5"/>
    <w:rsid w:val="00BC5F91"/>
    <w:rsid w:val="00C22852"/>
    <w:rsid w:val="00C5488D"/>
    <w:rsid w:val="00C62C55"/>
    <w:rsid w:val="00C713E7"/>
    <w:rsid w:val="00C845E5"/>
    <w:rsid w:val="00CD151F"/>
    <w:rsid w:val="00D57684"/>
    <w:rsid w:val="00D879FC"/>
    <w:rsid w:val="00DC4702"/>
    <w:rsid w:val="00DD78CA"/>
    <w:rsid w:val="00DE0D5F"/>
    <w:rsid w:val="00E17D59"/>
    <w:rsid w:val="00E20687"/>
    <w:rsid w:val="00E46FE6"/>
    <w:rsid w:val="00E60FBC"/>
    <w:rsid w:val="00E64E86"/>
    <w:rsid w:val="00E762E4"/>
    <w:rsid w:val="00EB2633"/>
    <w:rsid w:val="00EC0456"/>
    <w:rsid w:val="00EC6668"/>
    <w:rsid w:val="00F03053"/>
    <w:rsid w:val="00F04250"/>
    <w:rsid w:val="00F12035"/>
    <w:rsid w:val="00F20818"/>
    <w:rsid w:val="00F3145D"/>
    <w:rsid w:val="00F65CB5"/>
    <w:rsid w:val="00F827F2"/>
    <w:rsid w:val="00F8379B"/>
    <w:rsid w:val="00F861E2"/>
    <w:rsid w:val="00FA6DBF"/>
    <w:rsid w:val="00FC580D"/>
    <w:rsid w:val="00FE25DC"/>
    <w:rsid w:val="00FE78D0"/>
    <w:rsid w:val="00FF4FDE"/>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F5A0"/>
  <w15:chartTrackingRefBased/>
  <w15:docId w15:val="{CCAB2E00-6572-4F62-8563-918FA9CE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D4"/>
    <w:rPr>
      <w:rFonts w:eastAsiaTheme="majorEastAsia" w:cstheme="majorBidi"/>
      <w:color w:val="272727" w:themeColor="text1" w:themeTint="D8"/>
    </w:rPr>
  </w:style>
  <w:style w:type="paragraph" w:styleId="Title">
    <w:name w:val="Title"/>
    <w:basedOn w:val="Normal"/>
    <w:next w:val="Normal"/>
    <w:link w:val="TitleChar"/>
    <w:uiPriority w:val="10"/>
    <w:qFormat/>
    <w:rsid w:val="002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D4"/>
    <w:pPr>
      <w:spacing w:before="160"/>
      <w:jc w:val="center"/>
    </w:pPr>
    <w:rPr>
      <w:i/>
      <w:iCs/>
      <w:color w:val="404040" w:themeColor="text1" w:themeTint="BF"/>
    </w:rPr>
  </w:style>
  <w:style w:type="character" w:customStyle="1" w:styleId="QuoteChar">
    <w:name w:val="Quote Char"/>
    <w:basedOn w:val="DefaultParagraphFont"/>
    <w:link w:val="Quote"/>
    <w:uiPriority w:val="29"/>
    <w:rsid w:val="002114D4"/>
    <w:rPr>
      <w:i/>
      <w:iCs/>
      <w:color w:val="404040" w:themeColor="text1" w:themeTint="BF"/>
    </w:rPr>
  </w:style>
  <w:style w:type="paragraph" w:styleId="ListParagraph">
    <w:name w:val="List Paragraph"/>
    <w:basedOn w:val="Normal"/>
    <w:uiPriority w:val="34"/>
    <w:qFormat/>
    <w:rsid w:val="002114D4"/>
    <w:pPr>
      <w:ind w:left="720"/>
      <w:contextualSpacing/>
    </w:pPr>
  </w:style>
  <w:style w:type="character" w:styleId="IntenseEmphasis">
    <w:name w:val="Intense Emphasis"/>
    <w:basedOn w:val="DefaultParagraphFont"/>
    <w:uiPriority w:val="21"/>
    <w:qFormat/>
    <w:rsid w:val="002114D4"/>
    <w:rPr>
      <w:i/>
      <w:iCs/>
      <w:color w:val="0F4761" w:themeColor="accent1" w:themeShade="BF"/>
    </w:rPr>
  </w:style>
  <w:style w:type="paragraph" w:styleId="IntenseQuote">
    <w:name w:val="Intense Quote"/>
    <w:basedOn w:val="Normal"/>
    <w:next w:val="Normal"/>
    <w:link w:val="IntenseQuoteChar"/>
    <w:uiPriority w:val="30"/>
    <w:qFormat/>
    <w:rsid w:val="0021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D4"/>
    <w:rPr>
      <w:i/>
      <w:iCs/>
      <w:color w:val="0F4761" w:themeColor="accent1" w:themeShade="BF"/>
    </w:rPr>
  </w:style>
  <w:style w:type="character" w:styleId="IntenseReference">
    <w:name w:val="Intense Reference"/>
    <w:basedOn w:val="DefaultParagraphFont"/>
    <w:uiPriority w:val="32"/>
    <w:qFormat/>
    <w:rsid w:val="002114D4"/>
    <w:rPr>
      <w:b/>
      <w:bCs/>
      <w:smallCaps/>
      <w:color w:val="0F4761" w:themeColor="accent1" w:themeShade="BF"/>
      <w:spacing w:val="5"/>
    </w:rPr>
  </w:style>
  <w:style w:type="character" w:styleId="Hyperlink">
    <w:name w:val="Hyperlink"/>
    <w:basedOn w:val="DefaultParagraphFont"/>
    <w:uiPriority w:val="99"/>
    <w:unhideWhenUsed/>
    <w:rsid w:val="00E762E4"/>
    <w:rPr>
      <w:color w:val="467886" w:themeColor="hyperlink"/>
      <w:u w:val="single"/>
    </w:rPr>
  </w:style>
  <w:style w:type="character" w:styleId="UnresolvedMention">
    <w:name w:val="Unresolved Mention"/>
    <w:basedOn w:val="DefaultParagraphFont"/>
    <w:uiPriority w:val="99"/>
    <w:semiHidden/>
    <w:unhideWhenUsed/>
    <w:rsid w:val="00E762E4"/>
    <w:rPr>
      <w:color w:val="605E5C"/>
      <w:shd w:val="clear" w:color="auto" w:fill="E1DFDD"/>
    </w:rPr>
  </w:style>
  <w:style w:type="paragraph" w:styleId="Revision">
    <w:name w:val="Revision"/>
    <w:hidden/>
    <w:uiPriority w:val="99"/>
    <w:semiHidden/>
    <w:rsid w:val="00BA5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inspection.federalregister.gov/2026-00085.pdf" TargetMode="External"/><Relationship Id="rId3" Type="http://schemas.openxmlformats.org/officeDocument/2006/relationships/settings" Target="settings.xml"/><Relationship Id="rId7" Type="http://schemas.openxmlformats.org/officeDocument/2006/relationships/hyperlink" Target="https://www.federalregister.gov/documents/2026/01/07/2026-00085/truth-in-lending-act-regulation-z-adjustment-to-asset-size-exemption-threshol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inspection.federalregister.gov/2026-00085.pdf" TargetMode="External"/><Relationship Id="rId11" Type="http://schemas.openxmlformats.org/officeDocument/2006/relationships/fontTable" Target="fontTable.xml"/><Relationship Id="rId5" Type="http://schemas.openxmlformats.org/officeDocument/2006/relationships/hyperlink" Target="https://public-inspection.federalregister.gov/2026-00087.pdf" TargetMode="External"/><Relationship Id="rId10" Type="http://schemas.openxmlformats.org/officeDocument/2006/relationships/hyperlink" Target="https://www.federalregister.gov/documents/2026/01/07/2026-00085/truth-in-lending-act-regulation-z-adjustment-to-asset-size-exemption-threshold" TargetMode="External"/><Relationship Id="rId4" Type="http://schemas.openxmlformats.org/officeDocument/2006/relationships/webSettings" Target="webSettings.xml"/><Relationship Id="rId9" Type="http://schemas.openxmlformats.org/officeDocument/2006/relationships/hyperlink" Target="https://public-inspection.federalregister.gov/2026-000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14</cp:revision>
  <dcterms:created xsi:type="dcterms:W3CDTF">2026-01-06T20:07:00Z</dcterms:created>
  <dcterms:modified xsi:type="dcterms:W3CDTF">2026-01-09T19:14:00Z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109178d6-931d-468b-8031-1aa92a47fd47</vt:lpwstr>
  </property>
</Properties>
</file>